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477E3" w14:textId="77777777" w:rsidR="00E047AE" w:rsidRDefault="00E047AE" w:rsidP="0072055C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</w:p>
    <w:p w14:paraId="6A1FDD1F" w14:textId="1BF61305" w:rsidR="008675CA" w:rsidRPr="00751BEF" w:rsidRDefault="00E54C97" w:rsidP="0072055C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751BEF">
        <w:rPr>
          <w:rFonts w:ascii="Times New Roman" w:hAnsi="Times New Roman"/>
          <w:i w:val="0"/>
          <w:iCs/>
          <w:szCs w:val="24"/>
          <w:lang w:val="sq-AL"/>
        </w:rPr>
        <w:t>MODEL</w:t>
      </w:r>
      <w:r w:rsidR="00463C25" w:rsidRPr="00751BEF">
        <w:rPr>
          <w:rFonts w:ascii="Times New Roman" w:hAnsi="Times New Roman"/>
          <w:i w:val="0"/>
          <w:iCs/>
          <w:szCs w:val="24"/>
          <w:lang w:val="sq-AL"/>
        </w:rPr>
        <w:t xml:space="preserve">I </w:t>
      </w:r>
      <w:r w:rsidRPr="00751BEF">
        <w:rPr>
          <w:rFonts w:ascii="Times New Roman" w:hAnsi="Times New Roman"/>
          <w:i w:val="0"/>
          <w:iCs/>
          <w:szCs w:val="24"/>
          <w:lang w:val="sq-AL"/>
        </w:rPr>
        <w:t>P</w:t>
      </w:r>
      <w:r w:rsidR="00044810" w:rsidRPr="00751BEF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751BEF">
        <w:rPr>
          <w:rFonts w:ascii="Times New Roman" w:hAnsi="Times New Roman"/>
          <w:i w:val="0"/>
          <w:iCs/>
          <w:szCs w:val="24"/>
          <w:lang w:val="sq-AL"/>
        </w:rPr>
        <w:t>R DOKUMENTIN KONSULTATIV</w:t>
      </w:r>
    </w:p>
    <w:p w14:paraId="2FF88EF8" w14:textId="5407C222" w:rsidR="00990DC6" w:rsidRDefault="00F3210B" w:rsidP="0072055C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5E5A3C">
        <w:rPr>
          <w:rFonts w:ascii="Times New Roman" w:hAnsi="Times New Roman"/>
          <w:sz w:val="24"/>
          <w:szCs w:val="24"/>
          <w:lang w:val="sq-AL"/>
        </w:rPr>
        <w:t>Projektvendimi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267193" w:rsidRPr="00267193">
        <w:rPr>
          <w:rFonts w:ascii="Times New Roman" w:hAnsi="Times New Roman"/>
          <w:b/>
          <w:sz w:val="24"/>
          <w:szCs w:val="24"/>
          <w:lang w:val="sq-AL"/>
        </w:rPr>
        <w:t>“Për disa shtesa dhe ndryshime në vendimin nr. 275, datë 1.04.2015, të Këshillit të Ministrave, “Për miratimin e rregullores “Për kushtet dhe rregullat e sigurisë së armëve””</w:t>
      </w:r>
      <w:r w:rsidR="00267193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18DA2C2A" w14:textId="77777777" w:rsidR="00F3210B" w:rsidRPr="00F3210B" w:rsidRDefault="00F3210B" w:rsidP="0072055C">
      <w:pPr>
        <w:pStyle w:val="BodyText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3BF55563" w14:textId="77777777" w:rsidTr="009F3A30">
        <w:tc>
          <w:tcPr>
            <w:tcW w:w="9212" w:type="dxa"/>
          </w:tcPr>
          <w:p w14:paraId="236F5B71" w14:textId="4A053A38" w:rsidR="00441FF8" w:rsidRPr="00751BEF" w:rsidRDefault="00F3210B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103272EC" w14:textId="7F2FDDAF" w:rsidR="00396ECE" w:rsidRPr="00751BEF" w:rsidRDefault="00396EC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 fton qytetarë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, shoqëritë tregtare që kryejnë veprimtari të lejuara me armët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F67AE6">
              <w:rPr>
                <w:rFonts w:ascii="Times New Roman" w:hAnsi="Times New Roman"/>
                <w:sz w:val="24"/>
                <w:szCs w:val="24"/>
                <w:lang w:val="sq-AL"/>
              </w:rPr>
              <w:t>organizata të shoqërisë civile, organet e pavarura,</w:t>
            </w:r>
            <w:r w:rsidR="00F67AE6" w:rsidRPr="00F67AE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ekspertë të fushës  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dhe përfaqësues të tjerë të publikut të interesuar për të kontribuar pë</w:t>
            </w:r>
            <w:r w:rsidR="001379F3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gjatë procesit të konsultimit publik të 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F3210B" w:rsidRPr="00F3210B">
              <w:rPr>
                <w:rFonts w:ascii="Times New Roman" w:hAnsi="Times New Roman"/>
                <w:sz w:val="24"/>
                <w:szCs w:val="24"/>
                <w:lang w:val="sq-AL"/>
              </w:rPr>
              <w:t>rojektvendimi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F3210B" w:rsidRPr="00F3210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“Për një shtesë dhe ndryshim në vendimin nr. 94, datë 4.2.2015, të Këshillit të Ministrave “Për procedurat për armët, në rastet e deklarimit të vdekjes, deklarimit të mbylljes ligjore të aktivitetit, për qëllime studimore, të humbjes së armës, vjedhjes së saj apo dokumentit/autorizimit”</w:t>
            </w:r>
          </w:p>
          <w:p w14:paraId="7A6F89D1" w14:textId="77777777" w:rsidR="00396ECE" w:rsidRPr="00751BEF" w:rsidRDefault="00396EC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 mirëpret:</w:t>
            </w:r>
          </w:p>
          <w:p w14:paraId="49BDBB5F" w14:textId="77777777" w:rsidR="00F627BC" w:rsidRDefault="00F3210B" w:rsidP="00F627BC">
            <w:pPr>
              <w:pStyle w:val="BodyText"/>
              <w:numPr>
                <w:ilvl w:val="0"/>
                <w:numId w:val="1"/>
              </w:numPr>
              <w:tabs>
                <w:tab w:val="clear" w:pos="567"/>
                <w:tab w:val="left" w:pos="60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Kome</w:t>
            </w:r>
            <w:r w:rsidR="00FA3B23">
              <w:rPr>
                <w:rFonts w:ascii="Times New Roman" w:hAnsi="Times New Roman"/>
                <w:sz w:val="24"/>
                <w:szCs w:val="24"/>
                <w:lang w:val="sq-AL"/>
              </w:rPr>
              <w:t>nte të përgjithshme publike mbi</w:t>
            </w:r>
            <w:r w:rsidR="00FA3B23" w:rsidRPr="00FA3B2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F627B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rregullat dhe kushtet e sigurisë </w:t>
            </w:r>
            <w:r w:rsidR="00F627BC" w:rsidRPr="00F627BC">
              <w:rPr>
                <w:rFonts w:ascii="Times New Roman" w:hAnsi="Times New Roman"/>
                <w:sz w:val="24"/>
                <w:szCs w:val="24"/>
                <w:lang w:val="sq-AL"/>
              </w:rPr>
              <w:t>sigurisë që duhet të plotësohen për veprimtarinë e transportit të armëve, pjesëve kryesore dhe municioneve të tyre, kushtet e sigurisë për ndërtimin e poligoneve të qitjes të hapur, të mbyllur, me pjatel, si kushtet dhe rregullat e sigurisë për ruajtjen e armës së zjarrit në vendbanim.</w:t>
            </w:r>
          </w:p>
          <w:p w14:paraId="2759B0A6" w14:textId="081C88EE" w:rsidR="00396ECE" w:rsidRPr="00751BEF" w:rsidRDefault="00F3210B" w:rsidP="00F627BC">
            <w:pPr>
              <w:pStyle w:val="BodyText"/>
              <w:numPr>
                <w:ilvl w:val="0"/>
                <w:numId w:val="1"/>
              </w:numPr>
              <w:tabs>
                <w:tab w:val="clear" w:pos="567"/>
                <w:tab w:val="left" w:pos="60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Komente nga cilido që mund të njohë fushën e </w:t>
            </w:r>
            <w:r w:rsidR="00C000E6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rendit dhe sigurisë publike,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kryesisht atë të kontrollit të armëve për përdorim civil </w:t>
            </w:r>
            <w:r w:rsidR="00C000E6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pjesë e fushës së përgjegjësisë së Ministrisë së Brendshme</w:t>
            </w:r>
            <w:r w:rsidR="00FA3B2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si </w:t>
            </w:r>
            <w:r w:rsidR="00FA3B23" w:rsidRPr="00FA3B2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sugjerime në lidhje me modele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më të mira të procedurave dhe afateve për ushtrimin e të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drejtave në veprimtaritë e lejuara me armët. </w:t>
            </w:r>
          </w:p>
          <w:p w14:paraId="107036DC" w14:textId="412576CB" w:rsidR="001E4573" w:rsidRPr="00751BEF" w:rsidRDefault="00396EC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Kontributet tuaja do të konsiderohen përgjatë procesit të përmi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rësimit të mëtejshëm të projekt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vendimit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. Zyra e Ministrisë së Brendshme do të përmbledhë të gjitha sugjerimet dhe japë sqarime për mënyrën se si ato janë reflek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tuar në aktin e përmendur, dhe 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në rast se sugjer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imet nuk reflektohen në projekt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vendim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4DD98B09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Kohëzgjatja e konsultimeve</w:t>
      </w:r>
      <w:r w:rsidR="008675CA" w:rsidRPr="00751BEF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0A95A18B" w14:textId="77777777" w:rsidTr="009F3A30">
        <w:tc>
          <w:tcPr>
            <w:tcW w:w="9212" w:type="dxa"/>
          </w:tcPr>
          <w:p w14:paraId="21C1B2F1" w14:textId="77777777" w:rsidR="00A047BC" w:rsidRPr="00751BEF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69374A4" w14:textId="1A793275" w:rsidR="00A047BC" w:rsidRPr="00751BEF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Konsultimi publik do të zgjasë 1 muaj, nëpërmjet pub</w:t>
            </w:r>
            <w:r w:rsidR="00F93524">
              <w:rPr>
                <w:rFonts w:ascii="Times New Roman" w:hAnsi="Times New Roman"/>
                <w:sz w:val="24"/>
                <w:szCs w:val="24"/>
                <w:lang w:val="sq-AL"/>
              </w:rPr>
              <w:t>l</w:t>
            </w:r>
            <w:r w:rsidR="008A463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ikimit në RENJK, nga data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26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mars</w:t>
            </w:r>
            <w:r w:rsidR="008A463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deri më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22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prill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5863E002" w14:textId="77777777" w:rsidR="001E4573" w:rsidRPr="00E047AE" w:rsidRDefault="001E4573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0"/>
                <w:szCs w:val="24"/>
                <w:lang w:val="sq-AL"/>
              </w:rPr>
            </w:pPr>
          </w:p>
        </w:tc>
      </w:tr>
    </w:tbl>
    <w:p w14:paraId="29630BCB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BA4022A" w14:textId="77777777" w:rsidR="0072055C" w:rsidRDefault="0072055C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057098D6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0FF81B91" w14:textId="77777777" w:rsidTr="009F3A30">
        <w:tc>
          <w:tcPr>
            <w:tcW w:w="9212" w:type="dxa"/>
          </w:tcPr>
          <w:p w14:paraId="49DF7B63" w14:textId="77777777" w:rsidR="00A047BC" w:rsidRPr="00751BEF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1A939FA8" w14:textId="2AC7B109" w:rsidR="00396ECE" w:rsidRPr="00751BEF" w:rsidRDefault="00396EC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Mund të merrni pjesë në procesin e konsultimeve publike duke dërguar komente/kontribute për projekt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in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74C7D256" w14:textId="38D796AE" w:rsidR="002167FB" w:rsidRPr="00751BEF" w:rsidRDefault="007F7BD0" w:rsidP="0072055C">
            <w:pPr>
              <w:pStyle w:val="BodyText"/>
              <w:numPr>
                <w:ilvl w:val="0"/>
                <w:numId w:val="1"/>
              </w:numPr>
              <w:spacing w:line="276" w:lineRule="auto"/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Duke plot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suar formularin onlin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Regjistrit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9607C">
              <w:rPr>
                <w:rFonts w:ascii="Times New Roman" w:hAnsi="Times New Roman"/>
                <w:sz w:val="24"/>
                <w:szCs w:val="24"/>
                <w:lang w:val="sq-AL"/>
              </w:rPr>
              <w:t>r projektaktit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, n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396ECE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adres</w:t>
            </w:r>
            <w:r w:rsidR="00196EFA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396ECE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elektronike:</w:t>
            </w:r>
            <w:r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hyperlink r:id="rId7" w:history="1">
              <w:r w:rsidR="00B61C6C" w:rsidRPr="00751BEF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336869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4B9F1669" w14:textId="1552D946" w:rsidR="008675CA" w:rsidRPr="00751BEF" w:rsidRDefault="00A047BC" w:rsidP="0072055C">
            <w:pPr>
              <w:pStyle w:val="BodyText"/>
              <w:numPr>
                <w:ilvl w:val="0"/>
                <w:numId w:val="1"/>
              </w:numPr>
              <w:spacing w:line="276" w:lineRule="auto"/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Me email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duke d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rguar propozimet/sugjerimet tuaja n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koordinatorit t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publik p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 Ministrin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Brendshme 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Keti Suli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, n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n: </w:t>
            </w:r>
            <w:hyperlink r:id="rId8" w:history="1">
              <w:r w:rsidR="00B61C6C" w:rsidRPr="00751BE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keti.suli@mb.gov.al</w:t>
              </w:r>
            </w:hyperlink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725A5EEA" w14:textId="5521F65B" w:rsidR="00441FF8" w:rsidRPr="00751BEF" w:rsidRDefault="00441FF8" w:rsidP="0072055C">
            <w:pPr>
              <w:pStyle w:val="BodyText"/>
              <w:numPr>
                <w:ilvl w:val="0"/>
                <w:numId w:val="1"/>
              </w:numPr>
              <w:spacing w:line="276" w:lineRule="auto"/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Me shkresa zyrtare nga ministrit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linj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s.</w:t>
            </w:r>
          </w:p>
        </w:tc>
      </w:tr>
    </w:tbl>
    <w:p w14:paraId="3C463429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27CCFE4C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12B24D1C" w14:textId="77777777" w:rsidTr="00B61C6C">
        <w:trPr>
          <w:trHeight w:val="3046"/>
        </w:trPr>
        <w:tc>
          <w:tcPr>
            <w:tcW w:w="9212" w:type="dxa"/>
          </w:tcPr>
          <w:p w14:paraId="17C33393" w14:textId="77777777" w:rsidR="00E047AE" w:rsidRDefault="00E047A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C9AA925" w14:textId="3FB82DD6" w:rsidR="00A047BC" w:rsidRPr="00751BEF" w:rsidRDefault="00902078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Të dhënat e kontaktit të koordinatorit përkatës për konsultime publike dhe /ose të ndonjë personi tjetër të cilit i drejtohen pyetjet</w:t>
            </w:r>
            <w:r w:rsidR="00A149A0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72827F2C" w14:textId="77777777" w:rsidR="00A149A0" w:rsidRPr="0072055C" w:rsidRDefault="00A149A0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16"/>
                <w:szCs w:val="24"/>
                <w:lang w:val="sq-AL"/>
              </w:rPr>
            </w:pPr>
          </w:p>
          <w:p w14:paraId="1354186D" w14:textId="2ABC0CDA" w:rsidR="0023260D" w:rsidRPr="00751BEF" w:rsidRDefault="003D2D9D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Znj. 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Keti Suli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 </w:t>
            </w:r>
            <w:r w:rsidR="0023260D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Koordinatore e </w:t>
            </w:r>
            <w:r w:rsidR="00113A3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="0023260D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onsultimit Publik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, e-mail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hyperlink r:id="rId9" w:history="1">
              <w:r w:rsidR="00B61C6C" w:rsidRPr="00751BE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keti.suli@mb.gov.al</w:t>
              </w:r>
            </w:hyperlink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5558EB6E" w14:textId="77777777" w:rsidR="008A4631" w:rsidRPr="0072055C" w:rsidRDefault="008A4631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16"/>
                <w:szCs w:val="24"/>
                <w:lang w:val="sq-AL"/>
              </w:rPr>
            </w:pPr>
          </w:p>
          <w:p w14:paraId="3637B89E" w14:textId="489A91DD" w:rsidR="00B61C6C" w:rsidRPr="00751BEF" w:rsidRDefault="00B61C6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Znj. Margarita Vogli – Specialiste e Sektorit të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Hartimit dhe Koordinimit të Strategjive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Drejtoria e Politikave dhe Strategjive, e-mail </w:t>
            </w:r>
            <w:hyperlink r:id="rId10" w:history="1">
              <w:r w:rsidRPr="00751BE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margarita.vogli@mb.gov.al</w:t>
              </w:r>
            </w:hyperlink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5D44D821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7239AD1E" w14:textId="77777777" w:rsidTr="009F3A30">
        <w:tc>
          <w:tcPr>
            <w:tcW w:w="9212" w:type="dxa"/>
          </w:tcPr>
          <w:p w14:paraId="2B8DE244" w14:textId="77777777" w:rsidR="00A047BC" w:rsidRPr="00751BEF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113AF108" w14:textId="7AE32548" w:rsidR="009F14DE" w:rsidRDefault="009F14D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Duke filluar nga 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fillim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i i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vitit 202</w:t>
            </w:r>
            <w:r w:rsid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1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ka filluar puna për identifikimin e grupeve të interesit, përcak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timi i metodave të konsultimit dhe j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anë zhvilluar vazhdimisht takime të grupit të punës si dhe ekspertë </w:t>
            </w:r>
            <w:r w:rsidR="001F697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 fushë</w:t>
            </w:r>
            <w:r w:rsidR="001F697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 armatimit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225A0334" w14:textId="58C6E8F1" w:rsidR="002167FB" w:rsidRPr="00751BEF" w:rsidRDefault="009F14D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Gjithashtu, janë zhvilluar edhe takime të grupit të punës </w:t>
            </w:r>
            <w:r w:rsidR="00D930CB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me përfaqësues t</w:t>
            </w:r>
            <w:r w:rsidR="007F2722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AE74DA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D930CB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misioneve/partnerëve ndërkombëtarë që ofrojnë bashkëpunim dhe asistencë në fushën e </w:t>
            </w:r>
            <w:r w:rsid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kontrollit të armëve, municioneve dhe eksplozivëve. </w:t>
            </w:r>
            <w:r w:rsidR="00E1477A" w:rsidRP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 shkak të natyrës së tyre teknike, projekt</w:t>
            </w:r>
            <w:r w:rsidR="00534E6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vendimi </w:t>
            </w:r>
            <w:r w:rsidR="00E1477A" w:rsidRP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u konsultua me ekspertët e SEESAC - Zyra e Evropës Juglindore dhe Lindore për Kontrollin e Armëve të Vogla dhe të Lehta, në një seminar dy ditor (8-9 shkurt 2021) me përfaqësues të </w:t>
            </w:r>
            <w:r w:rsid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drejtorive përgjegjëse për draftimin e projektvendimit</w:t>
            </w:r>
            <w:r w:rsidR="00E1477A" w:rsidRP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në Ministrinë e Brendshme.</w:t>
            </w:r>
          </w:p>
        </w:tc>
      </w:tr>
    </w:tbl>
    <w:p w14:paraId="29B33FD3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8281AE" w14:textId="47BC36A4" w:rsidR="00E047AE" w:rsidRDefault="00E047AE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1D099B2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lastRenderedPageBreak/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5017327A" w14:textId="77777777" w:rsidTr="009F3A30">
        <w:tc>
          <w:tcPr>
            <w:tcW w:w="9212" w:type="dxa"/>
          </w:tcPr>
          <w:p w14:paraId="39C042AC" w14:textId="77777777" w:rsidR="00F2299C" w:rsidRDefault="00F2299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590D3B8" w14:textId="6BE228A4" w:rsidR="00F2299C" w:rsidRPr="00751BEF" w:rsidRDefault="00534E62" w:rsidP="00177368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kuadër të miratimit të ndryshimeve në 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>ligjin nr. 74/2014 “Për armët”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dhjetor të vitit 2020 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>si dh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Urdhri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nr. 158, datë 25.11.2019 të Kryeministrit “Për marrjen e masave për rregullimin e dispozitave ligjore për aplikimin e shërbimeve vetëm online, nga data 01.01.2020”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u paraqit e nevojshme të reflektoheshin ndryshimet e parashikuara në këtë ligj edhe në aktet nënligjore përkatëse</w:t>
            </w:r>
            <w:r w:rsidR="0017736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 një qartësi më të madhe mbi </w:t>
            </w:r>
            <w:r w:rsidR="00177368" w:rsidRPr="00177368">
              <w:rPr>
                <w:rFonts w:ascii="Times New Roman" w:hAnsi="Times New Roman"/>
                <w:sz w:val="24"/>
                <w:szCs w:val="24"/>
                <w:lang w:val="sq-AL"/>
              </w:rPr>
              <w:t>rregullat dhe kushtet e sigurisë që duhet të plotësohen për veprimtarinë e transportit të armëve</w:t>
            </w:r>
            <w:r w:rsidR="0017736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77368" w:rsidRPr="00177368">
              <w:rPr>
                <w:rFonts w:ascii="Times New Roman" w:hAnsi="Times New Roman"/>
                <w:sz w:val="24"/>
                <w:szCs w:val="24"/>
                <w:lang w:val="sq-AL"/>
              </w:rPr>
              <w:t>kushtet e sigurisë për ndërtimin e poligoneve, si kushtet dhe rregullat e sigurisë për ruajtjen e armës së zjarrit në vendbanim.</w:t>
            </w:r>
          </w:p>
        </w:tc>
      </w:tr>
    </w:tbl>
    <w:p w14:paraId="671DF514" w14:textId="0027FA41" w:rsidR="00E54C97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59FC2C08" w14:textId="77777777" w:rsidTr="009F3A30">
        <w:tc>
          <w:tcPr>
            <w:tcW w:w="9212" w:type="dxa"/>
          </w:tcPr>
          <w:p w14:paraId="2B47E4F9" w14:textId="77777777" w:rsidR="00F2299C" w:rsidRDefault="00F2299C" w:rsidP="0072055C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D800EF3" w14:textId="77777777" w:rsidR="00AD529E" w:rsidRDefault="00575D0B" w:rsidP="00AD529E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75D0B">
              <w:rPr>
                <w:rFonts w:ascii="Times New Roman" w:hAnsi="Times New Roman"/>
                <w:sz w:val="24"/>
                <w:szCs w:val="24"/>
                <w:lang w:val="sq-AL"/>
              </w:rPr>
              <w:t>Qëllimi i këtij projektvendimi është të unifikojë rregullat dhe kushtet e sigurisë që duhet të plotësohen për veprimtarinë e transportit të armëve, pjesëve kryesore dhe municioneve të tyre, kushtet e sigurisë për ndërtimin e poligoneve të qitjes të hapur, të mbyllur, me pjatel, si kushtet dhe rregullat e sigurisë për ruajtjen e armës së zjarrit në vendbanim.</w:t>
            </w:r>
          </w:p>
          <w:p w14:paraId="0AD2C4D6" w14:textId="77777777" w:rsidR="00575D0B" w:rsidRDefault="00575D0B" w:rsidP="00AD529E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F7451EC" w14:textId="77777777" w:rsidR="00575D0B" w:rsidRDefault="00575D0B" w:rsidP="00AD529E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75D0B">
              <w:rPr>
                <w:rFonts w:ascii="Times New Roman" w:hAnsi="Times New Roman"/>
                <w:sz w:val="24"/>
                <w:szCs w:val="24"/>
                <w:lang w:val="sq-AL"/>
              </w:rPr>
              <w:t>Ky projektvendim synon të realizojë njësimin e plotë të termave (përkufizimeve dhe kategorive të armëve, pjesëve të armëve dhe municioneve, poligoneve), objekt i ligjit nr. 74/2014, i ndryshuar, si dhe të përcaktojë kushtet dhe rregullat për ruajtjen e armëve, pjesëve kryesore dhe municioneve të tyre, kushtet dhe rregullat për funksionimin e poligoneve, rregullat e ndërtimit dhe shfrytëzimit të poligoneve me pjatel.</w:t>
            </w:r>
          </w:p>
          <w:p w14:paraId="7A7AF454" w14:textId="7423E0CF" w:rsidR="00575D0B" w:rsidRPr="00751BEF" w:rsidRDefault="00575D0B" w:rsidP="00AD529E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F1742A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i/>
          <w:sz w:val="16"/>
          <w:szCs w:val="24"/>
          <w:lang w:val="sq-AL"/>
        </w:rPr>
      </w:pPr>
    </w:p>
    <w:p w14:paraId="2D9A4CA5" w14:textId="7777777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6F85D1AB" w14:textId="77777777" w:rsidTr="009F3A30">
        <w:tc>
          <w:tcPr>
            <w:tcW w:w="9212" w:type="dxa"/>
          </w:tcPr>
          <w:p w14:paraId="7607B2CB" w14:textId="21528E31" w:rsidR="001E4573" w:rsidRPr="00751BEF" w:rsidRDefault="00760293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Jeni të ftuar të jepni komentet dhe kontributet tuaja për të gjitha aspektet e projekt-ligjit të propozuar. </w:t>
            </w:r>
          </w:p>
          <w:p w14:paraId="63208E48" w14:textId="2A160D75" w:rsidR="00F1742A" w:rsidRPr="001E3C90" w:rsidRDefault="000E60B4" w:rsidP="001E3C90">
            <w:pPr>
              <w:pStyle w:val="BodyTex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1E3C9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Si i </w:t>
            </w:r>
            <w:r w:rsidR="004D6331">
              <w:rPr>
                <w:rFonts w:ascii="Times New Roman" w:hAnsi="Times New Roman"/>
                <w:sz w:val="24"/>
                <w:szCs w:val="24"/>
                <w:lang w:val="sq-AL"/>
              </w:rPr>
              <w:t>vlerësoni parashikimet e</w:t>
            </w:r>
            <w:r w:rsidR="001E3C9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bëra në këtë projektvendim mbi klasifikimet e poligoneve të qitjes?</w:t>
            </w:r>
          </w:p>
          <w:p w14:paraId="04C410F0" w14:textId="21EB9A7C" w:rsidR="001E3C90" w:rsidRPr="001C260E" w:rsidRDefault="004D6331" w:rsidP="001E3C90">
            <w:pPr>
              <w:pStyle w:val="BodyTex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 jeni dakord me rregullat e reja të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sq-AL"/>
              </w:rPr>
              <w:t>parashikuara për ndërtimin dhe shfrytëzimin e poligoneve me pjatel?</w:t>
            </w:r>
          </w:p>
          <w:p w14:paraId="3D4086F2" w14:textId="26D636A8" w:rsidR="001C260E" w:rsidRPr="006F5D65" w:rsidRDefault="001C260E" w:rsidP="003C3415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7F08B1D8" w14:textId="5ABC3FE1" w:rsidR="008675CA" w:rsidRPr="00751BEF" w:rsidRDefault="008675CA" w:rsidP="0072055C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8675CA" w:rsidRPr="00751BEF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04C93" w14:textId="77777777" w:rsidR="002B251F" w:rsidRDefault="002B251F" w:rsidP="00606F40">
      <w:r>
        <w:separator/>
      </w:r>
    </w:p>
  </w:endnote>
  <w:endnote w:type="continuationSeparator" w:id="0">
    <w:p w14:paraId="653B3656" w14:textId="77777777" w:rsidR="002B251F" w:rsidRDefault="002B251F" w:rsidP="0060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C32CB" w14:textId="77777777" w:rsidR="002B251F" w:rsidRDefault="002B251F" w:rsidP="00606F40">
      <w:r>
        <w:separator/>
      </w:r>
    </w:p>
  </w:footnote>
  <w:footnote w:type="continuationSeparator" w:id="0">
    <w:p w14:paraId="61B1BD39" w14:textId="77777777" w:rsidR="002B251F" w:rsidRDefault="002B251F" w:rsidP="0060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60B5"/>
    <w:multiLevelType w:val="hybridMultilevel"/>
    <w:tmpl w:val="7CD44F3A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57879"/>
    <w:multiLevelType w:val="hybridMultilevel"/>
    <w:tmpl w:val="3DF8B2A0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60AC4"/>
    <w:multiLevelType w:val="hybridMultilevel"/>
    <w:tmpl w:val="C88400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E95B4E"/>
    <w:multiLevelType w:val="hybridMultilevel"/>
    <w:tmpl w:val="2070B12E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3F5D06"/>
    <w:multiLevelType w:val="hybridMultilevel"/>
    <w:tmpl w:val="EC2E4D10"/>
    <w:lvl w:ilvl="0" w:tplc="7E9217EE">
      <w:start w:val="1"/>
      <w:numFmt w:val="bullet"/>
      <w:lvlText w:val="•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6833D8"/>
    <w:multiLevelType w:val="hybridMultilevel"/>
    <w:tmpl w:val="5D063118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17ED8"/>
    <w:multiLevelType w:val="hybridMultilevel"/>
    <w:tmpl w:val="EE247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257F9"/>
    <w:rsid w:val="00027DBA"/>
    <w:rsid w:val="00044810"/>
    <w:rsid w:val="00047A30"/>
    <w:rsid w:val="00091AC1"/>
    <w:rsid w:val="000E60B4"/>
    <w:rsid w:val="00103C86"/>
    <w:rsid w:val="00113A32"/>
    <w:rsid w:val="001144E3"/>
    <w:rsid w:val="001210B9"/>
    <w:rsid w:val="001379F3"/>
    <w:rsid w:val="0016664C"/>
    <w:rsid w:val="00177368"/>
    <w:rsid w:val="00196EFA"/>
    <w:rsid w:val="001C260E"/>
    <w:rsid w:val="001E3C90"/>
    <w:rsid w:val="001E4573"/>
    <w:rsid w:val="001F2E87"/>
    <w:rsid w:val="001F6974"/>
    <w:rsid w:val="002167FB"/>
    <w:rsid w:val="0023260D"/>
    <w:rsid w:val="00267193"/>
    <w:rsid w:val="002B251F"/>
    <w:rsid w:val="002C11D1"/>
    <w:rsid w:val="002D0616"/>
    <w:rsid w:val="00336869"/>
    <w:rsid w:val="003655FA"/>
    <w:rsid w:val="00383E47"/>
    <w:rsid w:val="00396ECE"/>
    <w:rsid w:val="003A7F21"/>
    <w:rsid w:val="003C3415"/>
    <w:rsid w:val="003D2D9D"/>
    <w:rsid w:val="00410143"/>
    <w:rsid w:val="00441FF8"/>
    <w:rsid w:val="00453FEB"/>
    <w:rsid w:val="00463C25"/>
    <w:rsid w:val="00490AD0"/>
    <w:rsid w:val="004928C0"/>
    <w:rsid w:val="00492DE0"/>
    <w:rsid w:val="004C5AE2"/>
    <w:rsid w:val="004D6331"/>
    <w:rsid w:val="00534E62"/>
    <w:rsid w:val="00574E6C"/>
    <w:rsid w:val="00575D0B"/>
    <w:rsid w:val="005E4A26"/>
    <w:rsid w:val="005E5A3C"/>
    <w:rsid w:val="005F0BBC"/>
    <w:rsid w:val="00600C60"/>
    <w:rsid w:val="006017D3"/>
    <w:rsid w:val="00606F40"/>
    <w:rsid w:val="006765A3"/>
    <w:rsid w:val="006A0D37"/>
    <w:rsid w:val="006E7E64"/>
    <w:rsid w:val="006F5D65"/>
    <w:rsid w:val="0072055C"/>
    <w:rsid w:val="00751BEF"/>
    <w:rsid w:val="00760293"/>
    <w:rsid w:val="00774CC9"/>
    <w:rsid w:val="00785430"/>
    <w:rsid w:val="0079607C"/>
    <w:rsid w:val="007F02F0"/>
    <w:rsid w:val="007F2722"/>
    <w:rsid w:val="007F3731"/>
    <w:rsid w:val="007F7BD0"/>
    <w:rsid w:val="00807F57"/>
    <w:rsid w:val="00866E4A"/>
    <w:rsid w:val="008675CA"/>
    <w:rsid w:val="008721EC"/>
    <w:rsid w:val="0089141E"/>
    <w:rsid w:val="008A4631"/>
    <w:rsid w:val="008B5064"/>
    <w:rsid w:val="008B554B"/>
    <w:rsid w:val="00902078"/>
    <w:rsid w:val="00912624"/>
    <w:rsid w:val="00912DE2"/>
    <w:rsid w:val="00990DC6"/>
    <w:rsid w:val="009D108C"/>
    <w:rsid w:val="009F14DE"/>
    <w:rsid w:val="00A047BC"/>
    <w:rsid w:val="00A149A0"/>
    <w:rsid w:val="00A5143A"/>
    <w:rsid w:val="00A84AA3"/>
    <w:rsid w:val="00A927A3"/>
    <w:rsid w:val="00AB606C"/>
    <w:rsid w:val="00AD529E"/>
    <w:rsid w:val="00AE0C17"/>
    <w:rsid w:val="00AE74DA"/>
    <w:rsid w:val="00B53A46"/>
    <w:rsid w:val="00B61C6C"/>
    <w:rsid w:val="00B833DC"/>
    <w:rsid w:val="00B83664"/>
    <w:rsid w:val="00BC0C18"/>
    <w:rsid w:val="00BD10F8"/>
    <w:rsid w:val="00BD2CC2"/>
    <w:rsid w:val="00C000E6"/>
    <w:rsid w:val="00C512AD"/>
    <w:rsid w:val="00CC3D10"/>
    <w:rsid w:val="00CC5563"/>
    <w:rsid w:val="00D33FE1"/>
    <w:rsid w:val="00D420BE"/>
    <w:rsid w:val="00D87362"/>
    <w:rsid w:val="00D930CB"/>
    <w:rsid w:val="00DB0922"/>
    <w:rsid w:val="00E047AE"/>
    <w:rsid w:val="00E1477A"/>
    <w:rsid w:val="00E54C97"/>
    <w:rsid w:val="00ED23CC"/>
    <w:rsid w:val="00F16D73"/>
    <w:rsid w:val="00F1742A"/>
    <w:rsid w:val="00F2299C"/>
    <w:rsid w:val="00F3210B"/>
    <w:rsid w:val="00F627BC"/>
    <w:rsid w:val="00F67AE6"/>
    <w:rsid w:val="00F71BFB"/>
    <w:rsid w:val="00F93524"/>
    <w:rsid w:val="00FA3B23"/>
    <w:rsid w:val="00FD458B"/>
    <w:rsid w:val="00FE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6F4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6F4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06F4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06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F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F40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F40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F7B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9F3"/>
    <w:rPr>
      <w:color w:val="954F72" w:themeColor="followedHyperlink"/>
      <w:u w:val="single"/>
    </w:rPr>
  </w:style>
  <w:style w:type="paragraph" w:styleId="ListParagraph">
    <w:name w:val="List Paragraph"/>
    <w:aliases w:val="Normal 1,List Paragraph1,List Paragraph (numbered (a)),List Paragraph 1,Akapit z listą BS,Bullets,Dot pt,F5 List Paragraph,List Paragraph Char Char Char,Indicator Text,Numbered Para 1,Bullet 1,Bullet Points,List Paragraph Char Char,L"/>
    <w:basedOn w:val="Normal"/>
    <w:link w:val="ListParagraphChar"/>
    <w:uiPriority w:val="34"/>
    <w:qFormat/>
    <w:rsid w:val="00902078"/>
    <w:pPr>
      <w:ind w:left="720"/>
    </w:pPr>
    <w:rPr>
      <w:rFonts w:ascii="Calibri" w:eastAsia="Calibri" w:hAnsi="Calibri"/>
      <w:szCs w:val="22"/>
      <w:lang w:val="sq-AL"/>
    </w:rPr>
  </w:style>
  <w:style w:type="character" w:customStyle="1" w:styleId="ListParagraphChar">
    <w:name w:val="List Paragraph Char"/>
    <w:aliases w:val="Normal 1 Char,List Paragraph1 Char,List Paragraph (numbered (a)) Char,List Paragraph 1 Char,Akapit z listą BS Char,Bullets Char,Dot pt Char,F5 List Paragraph Char,List Paragraph Char Char Char Char,Indicator Text Char,Bullet 1 Char"/>
    <w:link w:val="ListParagraph"/>
    <w:uiPriority w:val="34"/>
    <w:qFormat/>
    <w:locked/>
    <w:rsid w:val="00902078"/>
    <w:rPr>
      <w:rFonts w:ascii="Calibri" w:eastAsia="Calibri" w:hAnsi="Calibri" w:cs="Times New Roman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i.suli@mb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nsultimipublik.gov.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rgarita.vogli@mb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ti.suli@mb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HP</cp:lastModifiedBy>
  <cp:revision>33</cp:revision>
  <dcterms:created xsi:type="dcterms:W3CDTF">2021-03-25T07:41:00Z</dcterms:created>
  <dcterms:modified xsi:type="dcterms:W3CDTF">2021-03-25T22:05:00Z</dcterms:modified>
</cp:coreProperties>
</file>